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Vallentuna kommunfullmäktige</w:t>
      </w:r>
    </w:p>
    <w:p>
      <w:pPr>
        <w:pStyle w:val="Heading1"/>
      </w:pPr>
      <w:r>
        <w:t xml:space="preserve">Utöka det separata cykelvägnätet längs E18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Vallentuna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Vallentuna har låg andel cykelpendling jämfört med länet enligt Trafikverket 2024. En säker cykelväg längs E18 skulle minska bilberoendet och öka trafiksäkerheten för pendlare till Stockholm.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Vallentuna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påskynda planeringen av en separat cykelväg längs E18 mellan Vallentuna centrum och gränsen mot Österåker.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tekniska nämnden får i uppdrag att söka statlig medfinansiering via Trafikverket.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cykelvägen ska vara färdigställd senast 2029.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begär en årlig statusrapport om projektet.</w:t>
      </w:r>
    </w:p>
    <w:p>
      <w:pPr>
        <w:spacing w:before="360"/>
      </w:pPr>
    </w:p>
    <w:p>
      <w:r>
        <w:t xml:space="preserve">Vallentuna,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Vallentuna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2026-07-14T05:34:02.259Z</dcterms:created>
  <dcterms:modified xsi:type="dcterms:W3CDTF">2026-07-14T05:34:02.259Z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